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5AADE98E" w:rsidR="00EA5C7A" w:rsidRPr="001A14F3" w:rsidRDefault="00FF4D8A" w:rsidP="0029706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</w:t>
            </w:r>
            <w:r w:rsidR="00FC409C" w:rsidRPr="009E274E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roposta de alteração do </w:t>
            </w:r>
            <w:r w:rsidR="00FC409C">
              <w:rPr>
                <w:rFonts w:ascii="Arial" w:hAnsi="Arial" w:cs="Arial"/>
                <w:b/>
                <w:sz w:val="22"/>
                <w:szCs w:val="22"/>
                <w:lang w:bidi="en-US"/>
              </w:rPr>
              <w:t>RRT</w:t>
            </w:r>
            <w:r w:rsidR="00FC409C" w:rsidRPr="009E274E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de equipe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377E3642" w:rsidR="000B478A" w:rsidRPr="001A14F3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F23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BC7C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FB6A8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3638473D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E43EB" w:rsidRPr="008E43EB">
        <w:rPr>
          <w:rFonts w:ascii="Arial" w:hAnsi="Arial" w:cs="Arial"/>
          <w:b/>
          <w:color w:val="000000" w:themeColor="text1"/>
          <w:sz w:val="22"/>
          <w:szCs w:val="22"/>
        </w:rPr>
        <w:t xml:space="preserve">Analisar </w:t>
      </w:r>
      <w:r w:rsidR="00FF4D8A" w:rsidRPr="00FF4D8A">
        <w:rPr>
          <w:rFonts w:ascii="Arial" w:hAnsi="Arial" w:cs="Arial"/>
          <w:b/>
          <w:color w:val="000000" w:themeColor="text1"/>
          <w:sz w:val="22"/>
          <w:szCs w:val="22"/>
        </w:rPr>
        <w:t>proposta de alteração do RRT de equipe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0028A02C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7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B6A8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08E26DDA" w:rsidR="00CF1278" w:rsidRPr="001A14F3" w:rsidRDefault="00F134C2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F134C2">
        <w:rPr>
          <w:rFonts w:ascii="Arial" w:hAnsi="Arial" w:cs="Arial"/>
          <w:sz w:val="22"/>
          <w:szCs w:val="22"/>
        </w:rPr>
        <w:t>Considerando a deliberação CEP nº 0</w:t>
      </w:r>
      <w:r w:rsidR="000C6EE5">
        <w:rPr>
          <w:rFonts w:ascii="Arial" w:hAnsi="Arial" w:cs="Arial"/>
          <w:sz w:val="22"/>
          <w:szCs w:val="22"/>
        </w:rPr>
        <w:t>5</w:t>
      </w:r>
      <w:r w:rsidRPr="00F134C2">
        <w:rPr>
          <w:rFonts w:ascii="Arial" w:hAnsi="Arial" w:cs="Arial"/>
          <w:sz w:val="22"/>
          <w:szCs w:val="22"/>
        </w:rPr>
        <w:t>2/2020, aprovada na 6</w:t>
      </w:r>
      <w:r w:rsidR="00FF2722">
        <w:rPr>
          <w:rFonts w:ascii="Arial" w:hAnsi="Arial" w:cs="Arial"/>
          <w:sz w:val="22"/>
          <w:szCs w:val="22"/>
        </w:rPr>
        <w:t>7</w:t>
      </w:r>
      <w:r w:rsidRPr="00F134C2">
        <w:rPr>
          <w:rFonts w:ascii="Arial" w:hAnsi="Arial" w:cs="Arial"/>
          <w:sz w:val="22"/>
          <w:szCs w:val="22"/>
        </w:rPr>
        <w:t xml:space="preserve">ª reunião ordinária realizada no dia </w:t>
      </w:r>
      <w:r w:rsidR="00FF2722">
        <w:rPr>
          <w:rFonts w:ascii="Arial" w:hAnsi="Arial" w:cs="Arial"/>
          <w:sz w:val="22"/>
          <w:szCs w:val="22"/>
        </w:rPr>
        <w:t>02</w:t>
      </w:r>
      <w:r w:rsidRPr="00F134C2">
        <w:rPr>
          <w:rFonts w:ascii="Arial" w:hAnsi="Arial" w:cs="Arial"/>
          <w:sz w:val="22"/>
          <w:szCs w:val="22"/>
        </w:rPr>
        <w:t xml:space="preserve"> de </w:t>
      </w:r>
      <w:r w:rsidR="00FF2722">
        <w:rPr>
          <w:rFonts w:ascii="Arial" w:hAnsi="Arial" w:cs="Arial"/>
          <w:sz w:val="22"/>
          <w:szCs w:val="22"/>
        </w:rPr>
        <w:t>junho</w:t>
      </w:r>
      <w:r w:rsidRPr="00F134C2">
        <w:rPr>
          <w:rFonts w:ascii="Arial" w:hAnsi="Arial" w:cs="Arial"/>
          <w:sz w:val="22"/>
          <w:szCs w:val="22"/>
        </w:rPr>
        <w:t xml:space="preserve"> de 2020</w:t>
      </w:r>
      <w:r w:rsidR="00CF1278"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144199E1" w:rsidR="00970F61" w:rsidRPr="001A14F3" w:rsidRDefault="00970F61" w:rsidP="00A12F0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634232" w:rsidRPr="00693D41">
        <w:rPr>
          <w:rFonts w:ascii="Arial" w:hAnsi="Arial" w:cs="Arial"/>
          <w:b/>
          <w:bCs/>
          <w:color w:val="000000" w:themeColor="text1"/>
          <w:sz w:val="22"/>
          <w:szCs w:val="22"/>
        </w:rPr>
        <w:t>Pela manutenção</w:t>
      </w:r>
      <w:r w:rsidR="00634232" w:rsidRPr="00693D41">
        <w:rPr>
          <w:rFonts w:ascii="Arial" w:hAnsi="Arial" w:cs="Arial"/>
          <w:color w:val="000000" w:themeColor="text1"/>
          <w:sz w:val="22"/>
          <w:szCs w:val="22"/>
        </w:rPr>
        <w:t xml:space="preserve"> do processo de emissão do RRT na modalidade Equipe no SICCAU por todos os envolvidos no projeto, havendo cobrança apenas do RRT inicial, os demais </w:t>
      </w:r>
      <w:proofErr w:type="spellStart"/>
      <w:r w:rsidR="00634232" w:rsidRPr="00693D41">
        <w:rPr>
          <w:rFonts w:ascii="Arial" w:hAnsi="Arial" w:cs="Arial"/>
          <w:color w:val="000000" w:themeColor="text1"/>
          <w:sz w:val="22"/>
          <w:szCs w:val="22"/>
        </w:rPr>
        <w:t>RRTs</w:t>
      </w:r>
      <w:proofErr w:type="spellEnd"/>
      <w:r w:rsidR="00634232" w:rsidRPr="00693D41">
        <w:rPr>
          <w:rFonts w:ascii="Arial" w:hAnsi="Arial" w:cs="Arial"/>
          <w:color w:val="000000" w:themeColor="text1"/>
          <w:sz w:val="22"/>
          <w:szCs w:val="22"/>
        </w:rPr>
        <w:t xml:space="preserve"> vinculados ao inicial serão isentos de cobrança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5741359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bookmarkStart w:id="0" w:name="_GoBack"/>
      <w:r w:rsidR="009A6E8D">
        <w:rPr>
          <w:rFonts w:ascii="Arial" w:hAnsi="Arial" w:cs="Arial"/>
          <w:color w:val="000000" w:themeColor="text1"/>
          <w:spacing w:val="6"/>
          <w:sz w:val="22"/>
          <w:szCs w:val="22"/>
        </w:rPr>
        <w:t>7</w:t>
      </w:r>
      <w:bookmarkEnd w:id="0"/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; 00 votos contrários; 00 abstenções e </w:t>
      </w:r>
      <w:proofErr w:type="gramStart"/>
      <w:r w:rsidRPr="001A14F3">
        <w:rPr>
          <w:rFonts w:ascii="Arial" w:hAnsi="Arial" w:cs="Arial"/>
          <w:color w:val="000000" w:themeColor="text1"/>
          <w:sz w:val="22"/>
          <w:szCs w:val="22"/>
        </w:rPr>
        <w:t>0</w:t>
      </w:r>
      <w:r w:rsidR="009A6E8D">
        <w:rPr>
          <w:rFonts w:ascii="Arial" w:hAnsi="Arial" w:cs="Arial"/>
          <w:color w:val="000000" w:themeColor="text1"/>
          <w:sz w:val="22"/>
          <w:szCs w:val="22"/>
        </w:rPr>
        <w:t>1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proofErr w:type="gramEnd"/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4560B9C0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3A15E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A15E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9"/>
        <w:gridCol w:w="1048"/>
        <w:gridCol w:w="640"/>
        <w:gridCol w:w="777"/>
        <w:gridCol w:w="1230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15C5FC5" w:rsidR="004F4625" w:rsidRPr="001A14F3" w:rsidRDefault="001A14F3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3A15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1A14F3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54C30ACC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4C77CCE7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65F72750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659FDAD5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0475A9B2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429D089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036DB29D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1A14F3" w:rsidRPr="001A14F3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56CC8115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13627130" w:rsidR="001A14F3" w:rsidRPr="001A14F3" w:rsidRDefault="00146A4C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6F2C441D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FF5C8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1A14F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5221820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F5C83">
              <w:rPr>
                <w:rFonts w:ascii="Arial" w:hAnsi="Arial" w:cs="Arial"/>
                <w:color w:val="000000"/>
                <w:sz w:val="22"/>
                <w:szCs w:val="22"/>
              </w:rPr>
              <w:t>30/06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1A14F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00E49082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D712D" w:rsidRPr="00DD712D">
              <w:rPr>
                <w:rFonts w:ascii="Arial" w:hAnsi="Arial" w:cs="Arial"/>
                <w:color w:val="000000"/>
                <w:sz w:val="22"/>
                <w:szCs w:val="22"/>
              </w:rPr>
              <w:t>Proposta de alteração do RRT de equipe</w:t>
            </w:r>
            <w:r w:rsidR="000A17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A14F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57F98F05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9A6E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9A6E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9A6E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9A6E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1A14F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E8F02" w14:textId="77777777" w:rsidR="00A9413F" w:rsidRDefault="00A9413F" w:rsidP="002D55E6">
      <w:r>
        <w:separator/>
      </w:r>
    </w:p>
  </w:endnote>
  <w:endnote w:type="continuationSeparator" w:id="0">
    <w:p w14:paraId="0D3E24F9" w14:textId="77777777" w:rsidR="00A9413F" w:rsidRDefault="00A9413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D284" w14:textId="77777777" w:rsidR="00A9413F" w:rsidRDefault="00A9413F" w:rsidP="002D55E6">
      <w:r>
        <w:separator/>
      </w:r>
    </w:p>
  </w:footnote>
  <w:footnote w:type="continuationSeparator" w:id="0">
    <w:p w14:paraId="2D3987BA" w14:textId="77777777" w:rsidR="00A9413F" w:rsidRDefault="00A9413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2503"/>
    <w:rsid w:val="000559C8"/>
    <w:rsid w:val="000678E1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0C6EE5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6A4C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36CC2"/>
    <w:rsid w:val="00344E6C"/>
    <w:rsid w:val="00345D94"/>
    <w:rsid w:val="00346D95"/>
    <w:rsid w:val="00353530"/>
    <w:rsid w:val="00353988"/>
    <w:rsid w:val="0037719D"/>
    <w:rsid w:val="003772DA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34232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93D41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184B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C4501"/>
    <w:rsid w:val="007D21CE"/>
    <w:rsid w:val="007D6B53"/>
    <w:rsid w:val="007E09A7"/>
    <w:rsid w:val="007E12E3"/>
    <w:rsid w:val="007E1E18"/>
    <w:rsid w:val="007F0C04"/>
    <w:rsid w:val="007F2A72"/>
    <w:rsid w:val="00802F9C"/>
    <w:rsid w:val="0081422F"/>
    <w:rsid w:val="008154AE"/>
    <w:rsid w:val="00821D1D"/>
    <w:rsid w:val="00824F7E"/>
    <w:rsid w:val="00835C2A"/>
    <w:rsid w:val="00845FC7"/>
    <w:rsid w:val="008475AE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43EB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6E8D"/>
    <w:rsid w:val="009A78E8"/>
    <w:rsid w:val="009B0A1F"/>
    <w:rsid w:val="009B4D73"/>
    <w:rsid w:val="009C0E0E"/>
    <w:rsid w:val="009E274E"/>
    <w:rsid w:val="009F6845"/>
    <w:rsid w:val="00A12575"/>
    <w:rsid w:val="00A12F04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09A4"/>
    <w:rsid w:val="00A85DAB"/>
    <w:rsid w:val="00A87511"/>
    <w:rsid w:val="00A9413F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C7C58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56ED"/>
    <w:rsid w:val="00CF67C3"/>
    <w:rsid w:val="00D04871"/>
    <w:rsid w:val="00D05194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D712D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4C2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6531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6A80"/>
    <w:rsid w:val="00FC409C"/>
    <w:rsid w:val="00FE2F28"/>
    <w:rsid w:val="00FE658E"/>
    <w:rsid w:val="00FF0EE7"/>
    <w:rsid w:val="00FF1290"/>
    <w:rsid w:val="00FF1743"/>
    <w:rsid w:val="00FF2722"/>
    <w:rsid w:val="00FF4D8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2EBEF-EDE1-4D95-AD4B-6CCEB058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2020-11-10T13:19:00Z</cp:lastPrinted>
  <dcterms:created xsi:type="dcterms:W3CDTF">2020-07-28T14:48:00Z</dcterms:created>
  <dcterms:modified xsi:type="dcterms:W3CDTF">2020-11-10T13:19:00Z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