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645557" w:rsidRPr="00F45FF8" w:rsidRDefault="00645557" w:rsidP="00645557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  <w:r w:rsidRPr="00F45FF8">
        <w:rPr>
          <w:rFonts w:ascii="Arial" w:hAnsi="Arial" w:cs="Arial"/>
          <w:b/>
          <w:szCs w:val="24"/>
        </w:rPr>
        <w:t>DELIBERAÇÃO CAU/ES N° 71, DE 02 DE AGOSTO DE 2017.</w:t>
      </w:r>
    </w:p>
    <w:p w:rsidR="00645557" w:rsidRPr="00F45FF8" w:rsidRDefault="00645557" w:rsidP="00645557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645557" w:rsidRPr="00F45FF8" w:rsidRDefault="00645557" w:rsidP="00645557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645557" w:rsidRPr="00F45FF8" w:rsidRDefault="00645557" w:rsidP="00645557">
      <w:pPr>
        <w:pStyle w:val="Default"/>
        <w:tabs>
          <w:tab w:val="right" w:pos="9072"/>
        </w:tabs>
        <w:ind w:left="5387" w:right="-708"/>
        <w:jc w:val="both"/>
        <w:rPr>
          <w:rFonts w:ascii="Arial" w:hAnsi="Arial" w:cs="Arial"/>
        </w:rPr>
      </w:pPr>
      <w:r w:rsidRPr="00F45FF8">
        <w:rPr>
          <w:rFonts w:ascii="Arial" w:hAnsi="Arial" w:cs="Arial"/>
        </w:rPr>
        <w:t xml:space="preserve">Homologa a Deliberação nº 21/2017 da </w:t>
      </w:r>
      <w:r w:rsidRPr="00F45FF8">
        <w:rPr>
          <w:rFonts w:ascii="Arial" w:hAnsi="Arial" w:cs="Arial"/>
          <w:color w:val="auto"/>
        </w:rPr>
        <w:t xml:space="preserve">Comissão de Planejamento, Finanças e Atos Normativos do CAU/ES (CPFA-CAU/ES), que aprovou a </w:t>
      </w:r>
      <w:r w:rsidRPr="00F45FF8">
        <w:rPr>
          <w:rFonts w:ascii="Arial" w:hAnsi="Arial" w:cs="Arial"/>
        </w:rPr>
        <w:t>concessão de férias coletivas.</w:t>
      </w:r>
    </w:p>
    <w:p w:rsidR="00645557" w:rsidRPr="00F45FF8" w:rsidRDefault="00645557" w:rsidP="00645557">
      <w:pPr>
        <w:pStyle w:val="Default"/>
        <w:tabs>
          <w:tab w:val="right" w:pos="9072"/>
        </w:tabs>
        <w:ind w:left="4962" w:right="-708"/>
        <w:jc w:val="both"/>
        <w:rPr>
          <w:rFonts w:ascii="Arial" w:hAnsi="Arial" w:cs="Arial"/>
        </w:rPr>
      </w:pPr>
    </w:p>
    <w:p w:rsidR="00645557" w:rsidRPr="00F45FF8" w:rsidRDefault="00645557" w:rsidP="00645557">
      <w:pPr>
        <w:pStyle w:val="Default"/>
        <w:tabs>
          <w:tab w:val="right" w:pos="9072"/>
        </w:tabs>
        <w:ind w:left="4962" w:right="-708"/>
        <w:jc w:val="both"/>
        <w:rPr>
          <w:rFonts w:ascii="Arial" w:hAnsi="Arial" w:cs="Arial"/>
        </w:rPr>
      </w:pPr>
    </w:p>
    <w:p w:rsidR="00645557" w:rsidRPr="00F45FF8" w:rsidRDefault="00645557" w:rsidP="00645557">
      <w:pPr>
        <w:pStyle w:val="Default"/>
        <w:tabs>
          <w:tab w:val="right" w:pos="9072"/>
        </w:tabs>
        <w:ind w:left="4962" w:right="-708"/>
        <w:jc w:val="both"/>
        <w:rPr>
          <w:rFonts w:ascii="Arial" w:hAnsi="Arial" w:cs="Arial"/>
        </w:rPr>
      </w:pPr>
    </w:p>
    <w:p w:rsidR="00645557" w:rsidRPr="00F45FF8" w:rsidRDefault="00645557" w:rsidP="00645557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  <w:r w:rsidRPr="00F45FF8">
        <w:rPr>
          <w:rFonts w:ascii="Arial" w:hAnsi="Arial" w:cs="Arial"/>
        </w:rPr>
        <w:t>O Plenário do Conselho de Arquitetura e Urbanismo do Espírito Santo (CAU/ES</w:t>
      </w:r>
      <w:r w:rsidRPr="00F45FF8">
        <w:rPr>
          <w:rFonts w:ascii="Arial" w:hAnsi="Arial" w:cs="Arial"/>
          <w:color w:val="auto"/>
        </w:rPr>
        <w:t>), no uso das competências previstas no art. 8° do Regimento Interno, aprovado</w:t>
      </w:r>
      <w:r w:rsidRPr="00F45FF8">
        <w:rPr>
          <w:rFonts w:ascii="Arial" w:hAnsi="Arial" w:cs="Arial"/>
          <w:color w:val="auto"/>
          <w:shd w:val="clear" w:color="auto" w:fill="FFFFFF"/>
        </w:rPr>
        <w:t xml:space="preserve"> pel</w:t>
      </w:r>
      <w:r w:rsidRPr="00F45FF8">
        <w:rPr>
          <w:rFonts w:ascii="Arial" w:hAnsi="Arial" w:cs="Arial"/>
          <w:color w:val="auto"/>
        </w:rPr>
        <w:t xml:space="preserve">a Deliberação CAU/ES nº 11, de 11 de fevereiro de 2014, reunido ordinariamente na sede do CAU/ES, na Rua </w:t>
      </w:r>
      <w:proofErr w:type="spellStart"/>
      <w:r w:rsidRPr="00F45FF8">
        <w:rPr>
          <w:rFonts w:ascii="Arial" w:hAnsi="Arial" w:cs="Arial"/>
          <w:color w:val="auto"/>
        </w:rPr>
        <w:t>Helio</w:t>
      </w:r>
      <w:proofErr w:type="spellEnd"/>
      <w:r w:rsidRPr="00F45FF8">
        <w:rPr>
          <w:rFonts w:ascii="Arial" w:hAnsi="Arial" w:cs="Arial"/>
          <w:color w:val="auto"/>
        </w:rPr>
        <w:t xml:space="preserve"> Marconi, nº 58, Bento Ferreira, Vitória/ES, na 53ª Sessão Plenária realizada no dia 02 de </w:t>
      </w:r>
      <w:r>
        <w:rPr>
          <w:rFonts w:ascii="Arial" w:hAnsi="Arial" w:cs="Arial"/>
          <w:color w:val="auto"/>
        </w:rPr>
        <w:t>a</w:t>
      </w:r>
      <w:r w:rsidRPr="00F45FF8">
        <w:rPr>
          <w:rFonts w:ascii="Arial" w:hAnsi="Arial" w:cs="Arial"/>
          <w:color w:val="auto"/>
        </w:rPr>
        <w:t>gosto de 2017, após análise do assunto em referência, e</w:t>
      </w:r>
    </w:p>
    <w:p w:rsidR="00645557" w:rsidRPr="00F45FF8" w:rsidRDefault="00645557" w:rsidP="00645557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  <w:szCs w:val="24"/>
        </w:rPr>
      </w:pPr>
    </w:p>
    <w:p w:rsidR="00645557" w:rsidRPr="00F45FF8" w:rsidRDefault="00645557" w:rsidP="00645557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  <w:szCs w:val="24"/>
        </w:rPr>
      </w:pPr>
    </w:p>
    <w:p w:rsidR="00645557" w:rsidRPr="00F45FF8" w:rsidRDefault="00645557" w:rsidP="00645557">
      <w:pPr>
        <w:pStyle w:val="Default"/>
        <w:tabs>
          <w:tab w:val="right" w:pos="8080"/>
        </w:tabs>
        <w:ind w:right="-708"/>
        <w:jc w:val="both"/>
        <w:rPr>
          <w:rFonts w:ascii="Arial" w:hAnsi="Arial" w:cs="Arial"/>
        </w:rPr>
      </w:pPr>
      <w:r w:rsidRPr="00F45FF8">
        <w:rPr>
          <w:rFonts w:ascii="Arial" w:hAnsi="Arial" w:cs="Arial"/>
          <w:color w:val="auto"/>
        </w:rPr>
        <w:t xml:space="preserve">Considerando que a Comissão de Planejamento, Finanças e Atos Normativos do CAU/ES (CPFA-CAU/ES) aprovou, por unanimidade, a </w:t>
      </w:r>
      <w:r w:rsidRPr="00F45FF8">
        <w:rPr>
          <w:rFonts w:ascii="Arial" w:hAnsi="Arial" w:cs="Arial"/>
        </w:rPr>
        <w:t>concessão de férias coletivas aos empregados do CAU/ES pelo período de 20 dias, iniciando-se em 02/01/2018, enfatizando a economia comprovada e a inexistência de contratempos durante o período de férias coletivas concedidas em janeiro de 2017.</w:t>
      </w:r>
    </w:p>
    <w:p w:rsidR="00645557" w:rsidRPr="00F45FF8" w:rsidRDefault="00645557" w:rsidP="00645557">
      <w:pPr>
        <w:pStyle w:val="Default"/>
        <w:tabs>
          <w:tab w:val="right" w:pos="8080"/>
        </w:tabs>
        <w:ind w:right="-708"/>
        <w:jc w:val="both"/>
        <w:rPr>
          <w:rFonts w:ascii="Arial" w:hAnsi="Arial" w:cs="Arial"/>
        </w:rPr>
      </w:pPr>
    </w:p>
    <w:p w:rsidR="00645557" w:rsidRPr="00F45FF8" w:rsidRDefault="00645557" w:rsidP="00645557">
      <w:pPr>
        <w:pStyle w:val="Default"/>
        <w:tabs>
          <w:tab w:val="right" w:pos="8080"/>
        </w:tabs>
        <w:ind w:right="-708"/>
        <w:jc w:val="both"/>
        <w:rPr>
          <w:rFonts w:ascii="Arial" w:hAnsi="Arial" w:cs="Arial"/>
        </w:rPr>
      </w:pPr>
    </w:p>
    <w:p w:rsidR="00645557" w:rsidRPr="00F45FF8" w:rsidRDefault="00645557" w:rsidP="00645557">
      <w:pPr>
        <w:pStyle w:val="Default"/>
        <w:tabs>
          <w:tab w:val="right" w:pos="8080"/>
        </w:tabs>
        <w:ind w:right="-708"/>
        <w:jc w:val="both"/>
        <w:rPr>
          <w:rFonts w:ascii="Arial" w:hAnsi="Arial" w:cs="Arial"/>
        </w:rPr>
      </w:pPr>
    </w:p>
    <w:p w:rsidR="00645557" w:rsidRPr="00F45FF8" w:rsidRDefault="00645557" w:rsidP="00645557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  <w:r w:rsidRPr="00F45FF8">
        <w:rPr>
          <w:rFonts w:ascii="Arial" w:hAnsi="Arial" w:cs="Arial"/>
          <w:b/>
          <w:bCs/>
          <w:color w:val="auto"/>
        </w:rPr>
        <w:t>DELIBEROU:</w:t>
      </w:r>
    </w:p>
    <w:p w:rsidR="00645557" w:rsidRPr="00F45FF8" w:rsidRDefault="00645557" w:rsidP="00645557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645557" w:rsidRPr="00F45FF8" w:rsidRDefault="00645557" w:rsidP="00645557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645557" w:rsidRPr="00F45FF8" w:rsidRDefault="00645557" w:rsidP="00645557">
      <w:pPr>
        <w:pStyle w:val="Default"/>
        <w:numPr>
          <w:ilvl w:val="0"/>
          <w:numId w:val="26"/>
        </w:numPr>
        <w:tabs>
          <w:tab w:val="left" w:pos="426"/>
          <w:tab w:val="right" w:pos="8080"/>
        </w:tabs>
        <w:suppressAutoHyphens w:val="0"/>
        <w:autoSpaceDE w:val="0"/>
        <w:autoSpaceDN w:val="0"/>
        <w:adjustRightInd w:val="0"/>
        <w:ind w:left="426" w:right="-708" w:hanging="426"/>
        <w:jc w:val="both"/>
        <w:rPr>
          <w:rFonts w:ascii="Arial" w:hAnsi="Arial" w:cs="Arial"/>
          <w:color w:val="auto"/>
        </w:rPr>
      </w:pPr>
      <w:r w:rsidRPr="00F45FF8">
        <w:rPr>
          <w:rFonts w:ascii="Arial" w:hAnsi="Arial" w:cs="Arial"/>
        </w:rPr>
        <w:t xml:space="preserve">Homologar, por unanimidade, a Deliberação nº 21/2017 da </w:t>
      </w:r>
      <w:r w:rsidRPr="00F45FF8">
        <w:rPr>
          <w:rFonts w:ascii="Arial" w:hAnsi="Arial" w:cs="Arial"/>
          <w:color w:val="auto"/>
        </w:rPr>
        <w:t xml:space="preserve">Comissão de Planejamento, Finanças e Atos Normativos do CAU/ES (CPFA-CAU/ES), </w:t>
      </w:r>
      <w:r w:rsidRPr="00F45FF8">
        <w:rPr>
          <w:rFonts w:ascii="Arial" w:hAnsi="Arial" w:cs="Arial"/>
        </w:rPr>
        <w:t xml:space="preserve">que </w:t>
      </w:r>
      <w:r w:rsidRPr="00F45FF8">
        <w:rPr>
          <w:rFonts w:ascii="Arial" w:hAnsi="Arial" w:cs="Arial"/>
          <w:color w:val="auto"/>
        </w:rPr>
        <w:t xml:space="preserve">aprovou a </w:t>
      </w:r>
      <w:r w:rsidRPr="00F45FF8">
        <w:rPr>
          <w:rFonts w:ascii="Arial" w:hAnsi="Arial" w:cs="Arial"/>
        </w:rPr>
        <w:t>concessão de férias coletivas aos empregados do CAU/ES pelo período de 20 dias, iniciando-se em 02 de janeiro de 2018.</w:t>
      </w:r>
    </w:p>
    <w:p w:rsidR="00645557" w:rsidRPr="00F45FF8" w:rsidRDefault="00645557" w:rsidP="00645557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36"/>
          <w:szCs w:val="36"/>
        </w:rPr>
      </w:pPr>
    </w:p>
    <w:p w:rsidR="00645557" w:rsidRPr="00F45FF8" w:rsidRDefault="00645557" w:rsidP="00645557">
      <w:pPr>
        <w:pStyle w:val="Default"/>
        <w:numPr>
          <w:ilvl w:val="0"/>
          <w:numId w:val="26"/>
        </w:numPr>
        <w:tabs>
          <w:tab w:val="right" w:pos="426"/>
        </w:tabs>
        <w:suppressAutoHyphens w:val="0"/>
        <w:autoSpaceDE w:val="0"/>
        <w:autoSpaceDN w:val="0"/>
        <w:adjustRightInd w:val="0"/>
        <w:ind w:left="426" w:right="-708" w:hanging="426"/>
        <w:jc w:val="both"/>
        <w:rPr>
          <w:rFonts w:ascii="Arial" w:hAnsi="Arial" w:cs="Arial"/>
        </w:rPr>
      </w:pPr>
      <w:r w:rsidRPr="00F45FF8">
        <w:rPr>
          <w:rFonts w:ascii="Arial" w:hAnsi="Arial" w:cs="Arial"/>
        </w:rPr>
        <w:t xml:space="preserve">Esta Deliberação Plenária </w:t>
      </w:r>
      <w:r>
        <w:rPr>
          <w:rFonts w:ascii="Arial" w:hAnsi="Arial" w:cs="Arial"/>
        </w:rPr>
        <w:t>entra em vigor nesta data.</w:t>
      </w:r>
    </w:p>
    <w:p w:rsidR="00645557" w:rsidRPr="00F45FF8" w:rsidRDefault="00645557" w:rsidP="00645557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645557" w:rsidRPr="00F45FF8" w:rsidRDefault="00645557" w:rsidP="00645557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645557" w:rsidRPr="00F45FF8" w:rsidRDefault="00645557" w:rsidP="00645557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  <w:r w:rsidRPr="00F45FF8">
        <w:rPr>
          <w:rFonts w:ascii="Arial" w:hAnsi="Arial" w:cs="Arial"/>
          <w:color w:val="auto"/>
        </w:rPr>
        <w:t>Vitória, 02 de agosto de 2017.</w:t>
      </w:r>
    </w:p>
    <w:p w:rsidR="00645557" w:rsidRPr="00F45FF8" w:rsidRDefault="00645557" w:rsidP="00645557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645557" w:rsidRPr="00F45FF8" w:rsidRDefault="00645557" w:rsidP="00645557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645557" w:rsidRPr="00F45FF8" w:rsidRDefault="00645557" w:rsidP="00645557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645557" w:rsidRPr="00F45FF8" w:rsidRDefault="00645557" w:rsidP="00645557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645557" w:rsidRPr="00F45FF8" w:rsidRDefault="00645557" w:rsidP="00645557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</w:rPr>
      </w:pPr>
      <w:r w:rsidRPr="00F45FF8">
        <w:rPr>
          <w:rFonts w:ascii="Arial" w:hAnsi="Arial" w:cs="Arial"/>
          <w:color w:val="auto"/>
        </w:rPr>
        <w:t>Tito Augusto Abreu de Carvalho</w:t>
      </w:r>
    </w:p>
    <w:p w:rsidR="00645557" w:rsidRPr="00F45FF8" w:rsidRDefault="00645557" w:rsidP="00645557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</w:rPr>
      </w:pPr>
      <w:r w:rsidRPr="00F45FF8">
        <w:rPr>
          <w:rFonts w:ascii="Arial" w:hAnsi="Arial" w:cs="Arial"/>
          <w:color w:val="auto"/>
        </w:rPr>
        <w:t>Presidente do CAU/ES</w:t>
      </w:r>
    </w:p>
    <w:p w:rsidR="00DA74F3" w:rsidRPr="002237AB" w:rsidRDefault="00DA74F3" w:rsidP="00645557">
      <w:pPr>
        <w:pStyle w:val="Cabealho"/>
        <w:tabs>
          <w:tab w:val="clear" w:pos="8504"/>
        </w:tabs>
        <w:ind w:right="-425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B4" w:rsidRDefault="006735B4" w:rsidP="002D55E6">
      <w:r>
        <w:separator/>
      </w:r>
    </w:p>
  </w:endnote>
  <w:endnote w:type="continuationSeparator" w:id="0">
    <w:p w:rsidR="006735B4" w:rsidRDefault="006735B4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645557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B4" w:rsidRDefault="006735B4" w:rsidP="002D55E6">
      <w:r>
        <w:separator/>
      </w:r>
    </w:p>
  </w:footnote>
  <w:footnote w:type="continuationSeparator" w:id="0">
    <w:p w:rsidR="006735B4" w:rsidRDefault="006735B4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16EC0"/>
    <w:rsid w:val="00127A3D"/>
    <w:rsid w:val="001325C9"/>
    <w:rsid w:val="00135199"/>
    <w:rsid w:val="00173360"/>
    <w:rsid w:val="00173891"/>
    <w:rsid w:val="00182BAF"/>
    <w:rsid w:val="0019461A"/>
    <w:rsid w:val="0019537C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91CB3"/>
    <w:rsid w:val="004D30E7"/>
    <w:rsid w:val="004F3631"/>
    <w:rsid w:val="00522E07"/>
    <w:rsid w:val="0053010B"/>
    <w:rsid w:val="0059239D"/>
    <w:rsid w:val="005A3D33"/>
    <w:rsid w:val="005C2D2F"/>
    <w:rsid w:val="005E11EB"/>
    <w:rsid w:val="00633ECA"/>
    <w:rsid w:val="00645557"/>
    <w:rsid w:val="00650774"/>
    <w:rsid w:val="006550D7"/>
    <w:rsid w:val="00656EA4"/>
    <w:rsid w:val="00664736"/>
    <w:rsid w:val="006735B4"/>
    <w:rsid w:val="0068408C"/>
    <w:rsid w:val="00686AFB"/>
    <w:rsid w:val="00692D25"/>
    <w:rsid w:val="006A5E24"/>
    <w:rsid w:val="006C4E6E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D6B53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35176"/>
    <w:rsid w:val="00956D25"/>
    <w:rsid w:val="0097556E"/>
    <w:rsid w:val="009948FC"/>
    <w:rsid w:val="009A2658"/>
    <w:rsid w:val="009C0E0E"/>
    <w:rsid w:val="009F6845"/>
    <w:rsid w:val="00A5315B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DE7812"/>
    <w:rsid w:val="00E1466E"/>
    <w:rsid w:val="00E35968"/>
    <w:rsid w:val="00E42FF2"/>
    <w:rsid w:val="00E450C7"/>
    <w:rsid w:val="00E50C1B"/>
    <w:rsid w:val="00E5159A"/>
    <w:rsid w:val="00E55E48"/>
    <w:rsid w:val="00E8493F"/>
    <w:rsid w:val="00EB5BA1"/>
    <w:rsid w:val="00F220E9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0E349-76E7-4C57-8B22-BC3CC105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2017-09-28T19:34:00Z</dcterms:created>
  <dcterms:modified xsi:type="dcterms:W3CDTF">2017-09-28T19:34:00Z</dcterms:modified>
</cp:coreProperties>
</file>