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116EC0" w:rsidRPr="00C6677E" w:rsidRDefault="00116EC0" w:rsidP="00116EC0">
      <w:pPr>
        <w:pStyle w:val="Cabealho"/>
        <w:tabs>
          <w:tab w:val="clear" w:pos="8504"/>
          <w:tab w:val="right" w:pos="8505"/>
        </w:tabs>
        <w:ind w:right="-567"/>
        <w:jc w:val="center"/>
        <w:rPr>
          <w:rFonts w:ascii="Arial" w:hAnsi="Arial" w:cs="Arial"/>
          <w:b/>
          <w:szCs w:val="24"/>
        </w:rPr>
      </w:pPr>
      <w:r w:rsidRPr="00C6677E">
        <w:rPr>
          <w:rFonts w:ascii="Arial" w:hAnsi="Arial" w:cs="Arial"/>
          <w:b/>
          <w:szCs w:val="24"/>
        </w:rPr>
        <w:t>DELIBERAÇÃO CAU/ES N° 68, DE 01 DE AGOSTO DE 2017.</w:t>
      </w:r>
    </w:p>
    <w:p w:rsidR="00116EC0" w:rsidRPr="00C6677E" w:rsidRDefault="00116EC0" w:rsidP="00116EC0">
      <w:pPr>
        <w:tabs>
          <w:tab w:val="right" w:pos="8505"/>
        </w:tabs>
        <w:ind w:right="-567"/>
        <w:jc w:val="both"/>
        <w:rPr>
          <w:rFonts w:ascii="Arial" w:hAnsi="Arial" w:cs="Arial"/>
          <w:szCs w:val="24"/>
        </w:rPr>
      </w:pPr>
    </w:p>
    <w:p w:rsidR="00116EC0" w:rsidRPr="00C6677E" w:rsidRDefault="00116EC0" w:rsidP="00116EC0">
      <w:pPr>
        <w:tabs>
          <w:tab w:val="right" w:pos="8505"/>
        </w:tabs>
        <w:ind w:right="-567"/>
        <w:jc w:val="both"/>
        <w:rPr>
          <w:rFonts w:ascii="Arial" w:hAnsi="Arial" w:cs="Arial"/>
          <w:sz w:val="23"/>
          <w:szCs w:val="23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left="4962" w:right="-567"/>
        <w:jc w:val="both"/>
        <w:rPr>
          <w:rFonts w:ascii="Arial" w:hAnsi="Arial" w:cs="Arial"/>
          <w:sz w:val="23"/>
          <w:szCs w:val="23"/>
        </w:rPr>
      </w:pPr>
      <w:r w:rsidRPr="00C6677E">
        <w:rPr>
          <w:rFonts w:ascii="Arial" w:hAnsi="Arial" w:cs="Arial"/>
          <w:sz w:val="23"/>
          <w:szCs w:val="23"/>
        </w:rPr>
        <w:t>Aprova o relatório e parecer do conselheiro relator no Processo Ético-Disciplinar nº 102/2016.</w:t>
      </w:r>
    </w:p>
    <w:p w:rsidR="00116EC0" w:rsidRPr="00C6677E" w:rsidRDefault="00116EC0" w:rsidP="00116EC0">
      <w:pPr>
        <w:pStyle w:val="Default"/>
        <w:tabs>
          <w:tab w:val="right" w:pos="8505"/>
        </w:tabs>
        <w:ind w:left="3540" w:right="-567"/>
        <w:jc w:val="both"/>
        <w:rPr>
          <w:rFonts w:ascii="Arial" w:hAnsi="Arial" w:cs="Arial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left="3540" w:right="-567"/>
        <w:jc w:val="both"/>
        <w:rPr>
          <w:rFonts w:ascii="Arial" w:hAnsi="Arial" w:cs="Arial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color w:val="auto"/>
          <w:sz w:val="23"/>
          <w:szCs w:val="23"/>
        </w:rPr>
      </w:pPr>
      <w:r w:rsidRPr="00C6677E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C6677E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C6677E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C6677E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53ª Sessão Plenária realizada no dia 01 de agosto de 2017, após análise do assunto em referência e, </w:t>
      </w:r>
    </w:p>
    <w:p w:rsidR="00116EC0" w:rsidRPr="00C6677E" w:rsidRDefault="00116EC0" w:rsidP="00116EC0">
      <w:pPr>
        <w:tabs>
          <w:tab w:val="right" w:pos="8505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color w:val="auto"/>
          <w:sz w:val="23"/>
          <w:szCs w:val="23"/>
        </w:rPr>
      </w:pPr>
      <w:r w:rsidRPr="00C6677E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C6677E">
        <w:rPr>
          <w:rFonts w:ascii="Arial" w:hAnsi="Arial" w:cs="Arial"/>
          <w:sz w:val="23"/>
          <w:szCs w:val="23"/>
        </w:rPr>
        <w:t xml:space="preserve">. 34, IX da Lei </w:t>
      </w:r>
      <w:r w:rsidRPr="00C6677E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C6677E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C6677E">
        <w:rPr>
          <w:rFonts w:ascii="Arial" w:hAnsi="Arial" w:cs="Arial"/>
          <w:sz w:val="23"/>
          <w:szCs w:val="23"/>
        </w:rPr>
        <w:t>CAUs</w:t>
      </w:r>
      <w:proofErr w:type="spellEnd"/>
      <w:r w:rsidRPr="00C6677E">
        <w:rPr>
          <w:rFonts w:ascii="Arial" w:hAnsi="Arial" w:cs="Arial"/>
          <w:sz w:val="23"/>
          <w:szCs w:val="23"/>
        </w:rPr>
        <w:t xml:space="preserve"> julgarem em primeira instância os processos disciplinares, na forma que determinar o Regimento Geral do CAU/BR;</w:t>
      </w:r>
    </w:p>
    <w:p w:rsidR="00116EC0" w:rsidRPr="00C6677E" w:rsidRDefault="00116EC0" w:rsidP="00116EC0">
      <w:pPr>
        <w:tabs>
          <w:tab w:val="right" w:pos="8505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116EC0" w:rsidRPr="00C6677E" w:rsidRDefault="00116EC0" w:rsidP="00116EC0">
      <w:pPr>
        <w:tabs>
          <w:tab w:val="right" w:pos="8505"/>
        </w:tabs>
        <w:ind w:right="-567"/>
        <w:jc w:val="both"/>
        <w:rPr>
          <w:rFonts w:ascii="Arial" w:hAnsi="Arial" w:cs="Arial"/>
          <w:spacing w:val="-2"/>
          <w:sz w:val="23"/>
          <w:szCs w:val="23"/>
        </w:rPr>
      </w:pPr>
      <w:r w:rsidRPr="00C6677E">
        <w:rPr>
          <w:rFonts w:ascii="Arial" w:hAnsi="Arial" w:cs="Arial"/>
          <w:spacing w:val="-2"/>
          <w:sz w:val="23"/>
          <w:szCs w:val="23"/>
        </w:rPr>
        <w:t>Considerando o disposto no art. 28 da Resolução CAU nº 34, de 6 de setembro de 2012, que prevê que o Plenário do CAU/UF fará o julgamento do processo ético-disciplinar considerando as informações do respectivo relatório e parecer da Comissão de Ética e Disciplina;</w:t>
      </w:r>
    </w:p>
    <w:p w:rsidR="00116EC0" w:rsidRPr="00C6677E" w:rsidRDefault="00116EC0" w:rsidP="00116EC0">
      <w:pPr>
        <w:tabs>
          <w:tab w:val="right" w:pos="8505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eastAsia="Times New Roman" w:hAnsi="Arial" w:cs="Arial"/>
          <w:spacing w:val="-2"/>
          <w:sz w:val="23"/>
          <w:szCs w:val="23"/>
        </w:rPr>
      </w:pPr>
      <w:r w:rsidRPr="00C6677E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proofErr w:type="spellStart"/>
      <w:r w:rsidRPr="00C6677E">
        <w:rPr>
          <w:rFonts w:ascii="Arial" w:hAnsi="Arial" w:cs="Arial"/>
          <w:color w:val="auto"/>
          <w:sz w:val="23"/>
          <w:szCs w:val="23"/>
        </w:rPr>
        <w:t>Clemir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 Regina Pela </w:t>
      </w:r>
      <w:proofErr w:type="spellStart"/>
      <w:r w:rsidRPr="00C6677E">
        <w:rPr>
          <w:rFonts w:ascii="Arial" w:hAnsi="Arial" w:cs="Arial"/>
          <w:color w:val="auto"/>
          <w:sz w:val="23"/>
          <w:szCs w:val="23"/>
        </w:rPr>
        <w:t>Meneghel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, </w:t>
      </w:r>
      <w:r w:rsidRPr="00C6677E">
        <w:rPr>
          <w:rFonts w:ascii="Arial" w:hAnsi="Arial" w:cs="Arial"/>
          <w:sz w:val="23"/>
          <w:szCs w:val="23"/>
        </w:rPr>
        <w:t xml:space="preserve">fls. 25/27, 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aprovado por unanimidade na 42ª reunião da Comissão de Ética e Disciplina do Conselho de Arquitetura e Urbanismo do Espírito Santo (CED-CAU/ES), realizada no dia 18 de julho de 2017, na sede do CAU/ES, que concluiu ter o </w:t>
      </w:r>
      <w:r w:rsidRPr="00C6677E">
        <w:rPr>
          <w:rFonts w:ascii="Arial" w:hAnsi="Arial" w:cs="Arial"/>
          <w:color w:val="auto"/>
          <w:spacing w:val="-2"/>
          <w:sz w:val="23"/>
          <w:szCs w:val="23"/>
        </w:rPr>
        <w:t xml:space="preserve">denunciado infringido </w:t>
      </w:r>
      <w:r w:rsidRPr="00C6677E">
        <w:rPr>
          <w:rFonts w:ascii="Arial" w:hAnsi="Arial" w:cs="Arial"/>
          <w:spacing w:val="-2"/>
          <w:sz w:val="23"/>
          <w:szCs w:val="23"/>
        </w:rPr>
        <w:t xml:space="preserve">o disposto no inciso XII do artigo 18 da Lei 12.378/2010 e pela aplicação das penalidades de advertência reservada e </w:t>
      </w:r>
      <w:r w:rsidRPr="00C6677E">
        <w:rPr>
          <w:rFonts w:ascii="Arial" w:eastAsia="Times New Roman" w:hAnsi="Arial" w:cs="Arial"/>
          <w:spacing w:val="-2"/>
          <w:sz w:val="23"/>
          <w:szCs w:val="23"/>
        </w:rPr>
        <w:t>multa de 5 (cinco) anuidades</w:t>
      </w:r>
      <w:r w:rsidRPr="00C6677E">
        <w:rPr>
          <w:rFonts w:ascii="Arial" w:hAnsi="Arial" w:cs="Arial"/>
          <w:spacing w:val="-2"/>
          <w:sz w:val="23"/>
          <w:szCs w:val="23"/>
        </w:rPr>
        <w:t xml:space="preserve">, </w:t>
      </w:r>
      <w:r w:rsidRPr="00C6677E">
        <w:rPr>
          <w:rFonts w:ascii="Arial" w:hAnsi="Arial" w:cs="Arial"/>
          <w:color w:val="auto"/>
          <w:spacing w:val="-2"/>
          <w:sz w:val="23"/>
          <w:szCs w:val="23"/>
        </w:rPr>
        <w:t xml:space="preserve">previstas no subitem </w:t>
      </w:r>
      <w:r w:rsidRPr="00C6677E">
        <w:rPr>
          <w:rFonts w:ascii="Arial" w:eastAsia="Times New Roman" w:hAnsi="Arial" w:cs="Arial"/>
          <w:color w:val="auto"/>
          <w:spacing w:val="-2"/>
          <w:sz w:val="23"/>
          <w:szCs w:val="23"/>
        </w:rPr>
        <w:t xml:space="preserve">7.1, inciso XII </w:t>
      </w:r>
      <w:r w:rsidRPr="00C6677E">
        <w:rPr>
          <w:rFonts w:ascii="Arial" w:hAnsi="Arial" w:cs="Arial"/>
          <w:color w:val="auto"/>
          <w:spacing w:val="-2"/>
          <w:sz w:val="23"/>
          <w:szCs w:val="23"/>
        </w:rPr>
        <w:t>do anexo da Resolução</w:t>
      </w:r>
      <w:r w:rsidRPr="00C6677E">
        <w:rPr>
          <w:rFonts w:ascii="Arial" w:hAnsi="Arial" w:cs="Arial"/>
          <w:spacing w:val="-2"/>
          <w:sz w:val="23"/>
          <w:szCs w:val="23"/>
        </w:rPr>
        <w:t xml:space="preserve"> CAU </w:t>
      </w:r>
      <w:r w:rsidRPr="00C6677E">
        <w:rPr>
          <w:rFonts w:ascii="Arial" w:hAnsi="Arial" w:cs="Arial"/>
          <w:color w:val="auto"/>
          <w:spacing w:val="-2"/>
          <w:sz w:val="23"/>
          <w:szCs w:val="23"/>
        </w:rPr>
        <w:t>nº 58, de 05 de outubro de 2013</w:t>
      </w:r>
      <w:r w:rsidRPr="00C6677E">
        <w:rPr>
          <w:rFonts w:ascii="Arial" w:hAnsi="Arial" w:cs="Arial"/>
          <w:spacing w:val="-2"/>
          <w:sz w:val="23"/>
          <w:szCs w:val="23"/>
        </w:rPr>
        <w:t>, pois</w:t>
      </w:r>
      <w:r w:rsidRPr="00C6677E">
        <w:rPr>
          <w:rFonts w:ascii="Arial" w:eastAsia="Times New Roman" w:hAnsi="Arial" w:cs="Arial"/>
          <w:spacing w:val="-2"/>
          <w:sz w:val="23"/>
          <w:szCs w:val="23"/>
        </w:rPr>
        <w:t xml:space="preserve"> o profissional não é reincidente e por não haver circunstâncias agravantes.</w:t>
      </w: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shd w:val="clear" w:color="auto" w:fill="FFFFFF"/>
        <w:tabs>
          <w:tab w:val="left" w:pos="426"/>
          <w:tab w:val="right" w:pos="8505"/>
        </w:tabs>
        <w:ind w:right="-567"/>
        <w:jc w:val="both"/>
        <w:rPr>
          <w:rFonts w:ascii="Arial" w:hAnsi="Arial" w:cs="Arial"/>
          <w:szCs w:val="24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b/>
          <w:bCs/>
          <w:color w:val="auto"/>
        </w:rPr>
      </w:pPr>
      <w:r w:rsidRPr="00C6677E">
        <w:rPr>
          <w:rFonts w:ascii="Arial" w:hAnsi="Arial" w:cs="Arial"/>
          <w:b/>
          <w:bCs/>
          <w:color w:val="auto"/>
        </w:rPr>
        <w:t>DELIBEROU:</w:t>
      </w: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b/>
          <w:bCs/>
          <w:color w:val="auto"/>
        </w:rPr>
      </w:pPr>
    </w:p>
    <w:p w:rsidR="00116EC0" w:rsidRPr="00C6677E" w:rsidRDefault="00116EC0" w:rsidP="00116EC0">
      <w:pPr>
        <w:pStyle w:val="Default"/>
        <w:tabs>
          <w:tab w:val="left" w:pos="426"/>
          <w:tab w:val="right" w:pos="8505"/>
        </w:tabs>
        <w:ind w:right="-567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 w:rsidRPr="00C6677E">
        <w:rPr>
          <w:rFonts w:ascii="Arial" w:hAnsi="Arial" w:cs="Arial"/>
          <w:b/>
          <w:bCs/>
          <w:color w:val="auto"/>
          <w:sz w:val="23"/>
          <w:szCs w:val="23"/>
        </w:rPr>
        <w:t>1.</w:t>
      </w:r>
      <w:r w:rsidRPr="00C6677E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C6677E">
        <w:rPr>
          <w:rFonts w:ascii="Arial" w:hAnsi="Arial" w:cs="Arial"/>
          <w:sz w:val="23"/>
          <w:szCs w:val="23"/>
        </w:rPr>
        <w:t>Aprovar</w:t>
      </w:r>
      <w:proofErr w:type="gramEnd"/>
      <w:r w:rsidRPr="00C6677E">
        <w:rPr>
          <w:rFonts w:ascii="Arial" w:hAnsi="Arial" w:cs="Arial"/>
          <w:sz w:val="23"/>
          <w:szCs w:val="23"/>
        </w:rPr>
        <w:t xml:space="preserve">, por unanimidade </w:t>
      </w:r>
      <w:r>
        <w:rPr>
          <w:rFonts w:ascii="Arial" w:hAnsi="Arial" w:cs="Arial"/>
          <w:sz w:val="23"/>
          <w:szCs w:val="23"/>
        </w:rPr>
        <w:t xml:space="preserve">e </w:t>
      </w:r>
      <w:r w:rsidRPr="00C6677E">
        <w:rPr>
          <w:rFonts w:ascii="Arial" w:hAnsi="Arial" w:cs="Arial"/>
          <w:sz w:val="23"/>
          <w:szCs w:val="23"/>
        </w:rPr>
        <w:t xml:space="preserve">na íntegra, o 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proofErr w:type="spellStart"/>
      <w:r w:rsidRPr="00C6677E">
        <w:rPr>
          <w:rFonts w:ascii="Arial" w:hAnsi="Arial" w:cs="Arial"/>
          <w:color w:val="auto"/>
          <w:sz w:val="23"/>
          <w:szCs w:val="23"/>
        </w:rPr>
        <w:t>Clemir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 Regina Pela </w:t>
      </w:r>
      <w:proofErr w:type="spellStart"/>
      <w:r w:rsidRPr="00C6677E">
        <w:rPr>
          <w:rFonts w:ascii="Arial" w:hAnsi="Arial" w:cs="Arial"/>
          <w:color w:val="auto"/>
          <w:sz w:val="23"/>
          <w:szCs w:val="23"/>
        </w:rPr>
        <w:t>Meneghel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, </w:t>
      </w:r>
      <w:r w:rsidRPr="00C6677E">
        <w:rPr>
          <w:rFonts w:ascii="Arial" w:hAnsi="Arial" w:cs="Arial"/>
          <w:sz w:val="23"/>
          <w:szCs w:val="23"/>
        </w:rPr>
        <w:t xml:space="preserve">referente ao Processo Ético-Disciplinar nº 102/2016, aprovado por unanimidade </w:t>
      </w:r>
      <w:r w:rsidRPr="00C6677E">
        <w:rPr>
          <w:rFonts w:ascii="Arial" w:hAnsi="Arial" w:cs="Arial"/>
          <w:color w:val="auto"/>
          <w:sz w:val="23"/>
          <w:szCs w:val="23"/>
        </w:rPr>
        <w:t>na 42ª reunião da CED-CAU/ES, realizada no dia 18 de julho de 2017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rPr>
          <w:rFonts w:ascii="Arial" w:hAnsi="Arial" w:cs="Arial"/>
          <w:sz w:val="23"/>
          <w:szCs w:val="23"/>
        </w:rPr>
      </w:pPr>
      <w:r w:rsidRPr="00C6677E">
        <w:rPr>
          <w:rFonts w:ascii="Arial" w:hAnsi="Arial" w:cs="Arial"/>
          <w:b/>
          <w:color w:val="auto"/>
          <w:sz w:val="23"/>
          <w:szCs w:val="23"/>
        </w:rPr>
        <w:t>2.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   Esta </w:t>
      </w:r>
      <w:r w:rsidRPr="00C6677E">
        <w:rPr>
          <w:rFonts w:ascii="Arial" w:hAnsi="Arial" w:cs="Arial"/>
          <w:sz w:val="23"/>
          <w:szCs w:val="23"/>
        </w:rPr>
        <w:t>Deliberação Plenária entra em vigor nesta data.</w:t>
      </w: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  <w:sz w:val="23"/>
          <w:szCs w:val="23"/>
        </w:rPr>
      </w:pPr>
      <w:r w:rsidRPr="00C6677E">
        <w:rPr>
          <w:rFonts w:ascii="Arial" w:hAnsi="Arial" w:cs="Arial"/>
          <w:color w:val="auto"/>
          <w:sz w:val="23"/>
          <w:szCs w:val="23"/>
        </w:rPr>
        <w:t>Vitória, 01 de agosto de 2017.</w:t>
      </w: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  <w:sz w:val="36"/>
          <w:szCs w:val="36"/>
        </w:rPr>
      </w:pPr>
    </w:p>
    <w:p w:rsidR="00116EC0" w:rsidRPr="00C6677E" w:rsidRDefault="00116EC0" w:rsidP="00116EC0">
      <w:pPr>
        <w:pStyle w:val="Default"/>
        <w:tabs>
          <w:tab w:val="right" w:pos="567"/>
          <w:tab w:val="right" w:pos="8505"/>
        </w:tabs>
        <w:ind w:right="-567"/>
        <w:jc w:val="both"/>
        <w:rPr>
          <w:rFonts w:ascii="Arial" w:hAnsi="Arial" w:cs="Arial"/>
          <w:color w:val="auto"/>
        </w:rPr>
      </w:pP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contextualSpacing/>
        <w:jc w:val="center"/>
        <w:rPr>
          <w:rFonts w:ascii="Arial" w:hAnsi="Arial" w:cs="Arial"/>
          <w:b/>
          <w:color w:val="auto"/>
        </w:rPr>
      </w:pPr>
      <w:r w:rsidRPr="00C6677E">
        <w:rPr>
          <w:rFonts w:ascii="Arial" w:hAnsi="Arial" w:cs="Arial"/>
          <w:b/>
          <w:color w:val="auto"/>
        </w:rPr>
        <w:t>Tito Augusto Abreu de Carvalho</w:t>
      </w:r>
    </w:p>
    <w:p w:rsidR="00116EC0" w:rsidRPr="00C6677E" w:rsidRDefault="00116EC0" w:rsidP="00116EC0">
      <w:pPr>
        <w:pStyle w:val="Default"/>
        <w:tabs>
          <w:tab w:val="right" w:pos="8505"/>
        </w:tabs>
        <w:ind w:right="-567"/>
        <w:contextualSpacing/>
        <w:jc w:val="center"/>
        <w:rPr>
          <w:rFonts w:ascii="Arial" w:hAnsi="Arial" w:cs="Arial"/>
          <w:color w:val="auto"/>
        </w:rPr>
      </w:pPr>
      <w:r w:rsidRPr="00C6677E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116EC0">
      <w:pPr>
        <w:pStyle w:val="Cabealho"/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05" w:rsidRDefault="00FB5A05" w:rsidP="002D55E6">
      <w:r>
        <w:separator/>
      </w:r>
    </w:p>
  </w:endnote>
  <w:endnote w:type="continuationSeparator" w:id="0">
    <w:p w:rsidR="00FB5A05" w:rsidRDefault="00FB5A0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16EC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05" w:rsidRDefault="00FB5A05" w:rsidP="002D55E6">
      <w:r>
        <w:separator/>
      </w:r>
    </w:p>
  </w:footnote>
  <w:footnote w:type="continuationSeparator" w:id="0">
    <w:p w:rsidR="00FB5A05" w:rsidRDefault="00FB5A0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B5A05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C1A4-A8C2-4411-B8F7-A9DC970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2017-09-28T19:33:00Z</dcterms:created>
  <dcterms:modified xsi:type="dcterms:W3CDTF">2017-09-28T19:33:00Z</dcterms:modified>
</cp:coreProperties>
</file>